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AF7" w:rsidRPr="00AC037E" w:rsidRDefault="00266AF7" w:rsidP="00266AF7">
      <w:pPr>
        <w:spacing w:after="0" w:line="240" w:lineRule="auto"/>
        <w:jc w:val="center"/>
        <w:rPr>
          <w:rFonts w:eastAsia="Times New Roman" w:cs="Calibri"/>
          <w:b/>
          <w:sz w:val="28"/>
          <w:szCs w:val="24"/>
          <w:lang w:eastAsia="en-GB"/>
        </w:rPr>
      </w:pPr>
      <w:bookmarkStart w:id="0" w:name="_GoBack"/>
      <w:bookmarkEnd w:id="0"/>
      <w:r>
        <w:rPr>
          <w:rFonts w:eastAsia="Times New Roman" w:cs="Calibri"/>
          <w:noProof/>
          <w:sz w:val="24"/>
          <w:szCs w:val="24"/>
          <w:lang w:eastAsia="en-GB"/>
        </w:rPr>
        <w:drawing>
          <wp:anchor distT="0" distB="0" distL="114300" distR="114300" simplePos="0" relativeHeight="251660288" behindDoc="0" locked="0" layoutInCell="1" allowOverlap="1">
            <wp:simplePos x="0" y="0"/>
            <wp:positionH relativeFrom="column">
              <wp:posOffset>4398010</wp:posOffset>
            </wp:positionH>
            <wp:positionV relativeFrom="paragraph">
              <wp:posOffset>-475615</wp:posOffset>
            </wp:positionV>
            <wp:extent cx="1889760" cy="604520"/>
            <wp:effectExtent l="1905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a:stretch>
                      <a:fillRect/>
                    </a:stretch>
                  </pic:blipFill>
                  <pic:spPr bwMode="auto">
                    <a:xfrm>
                      <a:off x="0" y="0"/>
                      <a:ext cx="1889760" cy="604520"/>
                    </a:xfrm>
                    <a:prstGeom prst="rect">
                      <a:avLst/>
                    </a:prstGeom>
                    <a:noFill/>
                    <a:ln w="9525">
                      <a:noFill/>
                      <a:miter lim="800000"/>
                      <a:headEnd/>
                      <a:tailEnd/>
                    </a:ln>
                  </pic:spPr>
                </pic:pic>
              </a:graphicData>
            </a:graphic>
          </wp:anchor>
        </w:drawing>
      </w:r>
      <w:r w:rsidRPr="00AC037E">
        <w:rPr>
          <w:rFonts w:eastAsia="Times New Roman" w:cs="Calibri"/>
          <w:b/>
          <w:sz w:val="28"/>
          <w:szCs w:val="24"/>
          <w:lang w:eastAsia="en-GB"/>
        </w:rPr>
        <w:t xml:space="preserve">Liverpool Early Years </w:t>
      </w:r>
    </w:p>
    <w:p w:rsidR="00266AF7" w:rsidRPr="00AC037E" w:rsidRDefault="00266AF7" w:rsidP="00266AF7">
      <w:pPr>
        <w:spacing w:after="0" w:line="240" w:lineRule="auto"/>
        <w:jc w:val="center"/>
        <w:rPr>
          <w:rFonts w:eastAsia="Times New Roman" w:cs="Calibri"/>
          <w:b/>
          <w:sz w:val="28"/>
          <w:szCs w:val="24"/>
          <w:lang w:eastAsia="en-GB"/>
        </w:rPr>
      </w:pPr>
      <w:r w:rsidRPr="00AC037E">
        <w:rPr>
          <w:rFonts w:eastAsia="Times New Roman" w:cs="Calibri"/>
          <w:b/>
          <w:sz w:val="28"/>
          <w:szCs w:val="24"/>
          <w:lang w:eastAsia="en-GB"/>
        </w:rPr>
        <w:t>Reading Quality Mark</w:t>
      </w:r>
    </w:p>
    <w:p w:rsidR="00266AF7" w:rsidRPr="00AC037E" w:rsidRDefault="00266AF7" w:rsidP="00266AF7">
      <w:pPr>
        <w:keepNext/>
        <w:spacing w:before="240" w:after="60" w:line="240" w:lineRule="auto"/>
        <w:outlineLvl w:val="0"/>
        <w:rPr>
          <w:rFonts w:eastAsia="Times New Roman" w:cs="Calibri"/>
          <w:b/>
          <w:bCs/>
          <w:kern w:val="32"/>
          <w:sz w:val="32"/>
          <w:szCs w:val="32"/>
        </w:rPr>
      </w:pPr>
      <w:bookmarkStart w:id="1" w:name="_Toc406752440"/>
      <w:r w:rsidRPr="00AC037E">
        <w:rPr>
          <w:rFonts w:eastAsia="Times New Roman" w:cs="Calibri"/>
          <w:b/>
          <w:bCs/>
          <w:kern w:val="32"/>
          <w:sz w:val="32"/>
          <w:szCs w:val="32"/>
        </w:rPr>
        <w:t>Assessment Visit Report</w:t>
      </w:r>
      <w:bookmarkEnd w:id="1"/>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953"/>
      </w:tblGrid>
      <w:tr w:rsidR="00266AF7" w:rsidRPr="00AC037E" w:rsidTr="00A836F5">
        <w:trPr>
          <w:trHeight w:val="70"/>
        </w:trPr>
        <w:tc>
          <w:tcPr>
            <w:tcW w:w="2694" w:type="dxa"/>
          </w:tcPr>
          <w:p w:rsidR="00266AF7" w:rsidRPr="00AC037E" w:rsidRDefault="00266AF7" w:rsidP="00A836F5">
            <w:pPr>
              <w:spacing w:after="0" w:line="240" w:lineRule="auto"/>
              <w:rPr>
                <w:rFonts w:eastAsia="Times New Roman" w:cs="Calibri"/>
                <w:b/>
                <w:sz w:val="24"/>
                <w:lang w:eastAsia="en-GB"/>
              </w:rPr>
            </w:pPr>
            <w:r w:rsidRPr="00AC037E">
              <w:rPr>
                <w:rFonts w:eastAsia="Times New Roman" w:cs="Calibri"/>
                <w:b/>
                <w:sz w:val="24"/>
                <w:lang w:eastAsia="en-GB"/>
              </w:rPr>
              <w:t>Setting</w:t>
            </w:r>
          </w:p>
        </w:tc>
        <w:tc>
          <w:tcPr>
            <w:tcW w:w="5953" w:type="dxa"/>
          </w:tcPr>
          <w:p w:rsidR="00266AF7" w:rsidRPr="00AC037E" w:rsidRDefault="005A5A9E" w:rsidP="00266AF7">
            <w:pPr>
              <w:spacing w:after="0" w:line="240" w:lineRule="auto"/>
              <w:rPr>
                <w:rFonts w:eastAsia="Times New Roman" w:cs="Calibri"/>
                <w:b/>
                <w:sz w:val="24"/>
                <w:lang w:eastAsia="en-GB"/>
              </w:rPr>
            </w:pPr>
            <w:r>
              <w:rPr>
                <w:rFonts w:eastAsia="Times New Roman" w:cs="Calibri"/>
                <w:b/>
                <w:sz w:val="24"/>
                <w:lang w:eastAsia="en-GB"/>
              </w:rPr>
              <w:t xml:space="preserve">Field of Dreams at St </w:t>
            </w:r>
            <w:proofErr w:type="spellStart"/>
            <w:r>
              <w:rPr>
                <w:rFonts w:eastAsia="Times New Roman" w:cs="Calibri"/>
                <w:b/>
                <w:sz w:val="24"/>
                <w:lang w:eastAsia="en-GB"/>
              </w:rPr>
              <w:t>Sebastians’s</w:t>
            </w:r>
            <w:proofErr w:type="spellEnd"/>
            <w:r w:rsidR="008A49D1">
              <w:rPr>
                <w:rFonts w:eastAsia="Times New Roman" w:cs="Calibri"/>
                <w:b/>
                <w:sz w:val="24"/>
                <w:lang w:eastAsia="en-GB"/>
              </w:rPr>
              <w:t xml:space="preserve"> Primary School</w:t>
            </w:r>
          </w:p>
        </w:tc>
      </w:tr>
      <w:tr w:rsidR="00266AF7" w:rsidRPr="00AC037E" w:rsidTr="00A836F5">
        <w:tc>
          <w:tcPr>
            <w:tcW w:w="2694" w:type="dxa"/>
          </w:tcPr>
          <w:p w:rsidR="00266AF7" w:rsidRPr="00AC037E" w:rsidRDefault="009813F0" w:rsidP="00A836F5">
            <w:pPr>
              <w:spacing w:after="0" w:line="240" w:lineRule="auto"/>
              <w:rPr>
                <w:rFonts w:eastAsia="Times New Roman" w:cs="Calibri"/>
                <w:b/>
                <w:sz w:val="24"/>
                <w:szCs w:val="24"/>
                <w:lang w:eastAsia="en-GB"/>
              </w:rPr>
            </w:pPr>
            <w:r>
              <w:rPr>
                <w:rFonts w:eastAsia="Times New Roman" w:cs="Calibri"/>
                <w:b/>
                <w:sz w:val="24"/>
                <w:szCs w:val="24"/>
                <w:lang w:eastAsia="en-GB"/>
              </w:rPr>
              <w:t>Headteacher</w:t>
            </w:r>
          </w:p>
        </w:tc>
        <w:tc>
          <w:tcPr>
            <w:tcW w:w="5953" w:type="dxa"/>
          </w:tcPr>
          <w:p w:rsidR="00266AF7" w:rsidRDefault="008A49D1" w:rsidP="00A836F5">
            <w:pPr>
              <w:spacing w:after="0" w:line="240" w:lineRule="auto"/>
              <w:rPr>
                <w:rFonts w:eastAsia="Times New Roman" w:cs="Calibri"/>
                <w:b/>
                <w:sz w:val="24"/>
                <w:szCs w:val="24"/>
                <w:lang w:eastAsia="en-GB"/>
              </w:rPr>
            </w:pPr>
            <w:r>
              <w:rPr>
                <w:rFonts w:eastAsia="Times New Roman" w:cs="Calibri"/>
                <w:b/>
                <w:sz w:val="24"/>
                <w:szCs w:val="24"/>
                <w:lang w:eastAsia="en-GB"/>
              </w:rPr>
              <w:t xml:space="preserve">Executive </w:t>
            </w:r>
            <w:proofErr w:type="spellStart"/>
            <w:r>
              <w:rPr>
                <w:rFonts w:eastAsia="Times New Roman" w:cs="Calibri"/>
                <w:b/>
                <w:sz w:val="24"/>
                <w:szCs w:val="24"/>
                <w:lang w:eastAsia="en-GB"/>
              </w:rPr>
              <w:t>Headteacher</w:t>
            </w:r>
            <w:proofErr w:type="spellEnd"/>
            <w:r>
              <w:rPr>
                <w:rFonts w:eastAsia="Times New Roman" w:cs="Calibri"/>
                <w:b/>
                <w:sz w:val="24"/>
                <w:szCs w:val="24"/>
                <w:lang w:eastAsia="en-GB"/>
              </w:rPr>
              <w:t xml:space="preserve">: Mr </w:t>
            </w:r>
            <w:proofErr w:type="spellStart"/>
            <w:r w:rsidRPr="008A49D1">
              <w:rPr>
                <w:rFonts w:eastAsia="Times New Roman" w:cs="Calibri"/>
                <w:b/>
                <w:sz w:val="24"/>
                <w:szCs w:val="24"/>
                <w:lang w:eastAsia="en-GB"/>
              </w:rPr>
              <w:t>Hardiman</w:t>
            </w:r>
            <w:proofErr w:type="spellEnd"/>
            <w:r>
              <w:rPr>
                <w:rFonts w:eastAsia="Times New Roman" w:cs="Calibri"/>
                <w:b/>
                <w:sz w:val="24"/>
                <w:szCs w:val="24"/>
                <w:lang w:eastAsia="en-GB"/>
              </w:rPr>
              <w:t xml:space="preserve"> MBE</w:t>
            </w:r>
          </w:p>
          <w:p w:rsidR="008A49D1" w:rsidRPr="00AC037E" w:rsidRDefault="008A49D1" w:rsidP="00A836F5">
            <w:pPr>
              <w:spacing w:after="0" w:line="240" w:lineRule="auto"/>
              <w:rPr>
                <w:rFonts w:eastAsia="Times New Roman" w:cs="Calibri"/>
                <w:b/>
                <w:sz w:val="24"/>
                <w:szCs w:val="24"/>
                <w:lang w:eastAsia="en-GB"/>
              </w:rPr>
            </w:pPr>
            <w:r>
              <w:rPr>
                <w:rFonts w:eastAsia="Times New Roman" w:cs="Calibri"/>
                <w:b/>
                <w:sz w:val="24"/>
                <w:szCs w:val="24"/>
                <w:lang w:eastAsia="en-GB"/>
              </w:rPr>
              <w:t>Nursery Manager: Nina Young</w:t>
            </w:r>
          </w:p>
        </w:tc>
      </w:tr>
      <w:tr w:rsidR="00266AF7" w:rsidRPr="00AC037E" w:rsidTr="00A836F5">
        <w:tc>
          <w:tcPr>
            <w:tcW w:w="2694" w:type="dxa"/>
          </w:tcPr>
          <w:p w:rsidR="00266AF7" w:rsidRPr="00AC037E" w:rsidRDefault="00266AF7" w:rsidP="00A836F5">
            <w:pPr>
              <w:spacing w:after="0" w:line="240" w:lineRule="auto"/>
              <w:rPr>
                <w:rFonts w:eastAsia="Times New Roman" w:cs="Calibri"/>
                <w:b/>
                <w:sz w:val="24"/>
                <w:szCs w:val="24"/>
                <w:lang w:eastAsia="en-GB"/>
              </w:rPr>
            </w:pPr>
            <w:r w:rsidRPr="00AC037E">
              <w:rPr>
                <w:rFonts w:eastAsia="Times New Roman" w:cs="Calibri"/>
                <w:b/>
                <w:sz w:val="24"/>
                <w:szCs w:val="24"/>
                <w:lang w:eastAsia="en-GB"/>
              </w:rPr>
              <w:t>Reading advocate</w:t>
            </w:r>
          </w:p>
        </w:tc>
        <w:tc>
          <w:tcPr>
            <w:tcW w:w="5953" w:type="dxa"/>
          </w:tcPr>
          <w:p w:rsidR="00266AF7" w:rsidRPr="00AC037E" w:rsidRDefault="008A49D1" w:rsidP="00A836F5">
            <w:pPr>
              <w:spacing w:after="0" w:line="240" w:lineRule="auto"/>
              <w:rPr>
                <w:rFonts w:eastAsia="Times New Roman" w:cs="Calibri"/>
                <w:b/>
                <w:sz w:val="24"/>
                <w:szCs w:val="24"/>
                <w:lang w:eastAsia="en-GB"/>
              </w:rPr>
            </w:pPr>
            <w:r>
              <w:rPr>
                <w:rFonts w:eastAsia="Times New Roman" w:cs="Calibri"/>
                <w:b/>
                <w:sz w:val="24"/>
                <w:szCs w:val="24"/>
                <w:lang w:eastAsia="en-GB"/>
              </w:rPr>
              <w:t xml:space="preserve">Rachael </w:t>
            </w:r>
            <w:proofErr w:type="spellStart"/>
            <w:r>
              <w:rPr>
                <w:rFonts w:eastAsia="Times New Roman" w:cs="Calibri"/>
                <w:b/>
                <w:sz w:val="24"/>
                <w:szCs w:val="24"/>
                <w:lang w:eastAsia="en-GB"/>
              </w:rPr>
              <w:t>Durney</w:t>
            </w:r>
            <w:proofErr w:type="spellEnd"/>
          </w:p>
        </w:tc>
      </w:tr>
      <w:tr w:rsidR="00266AF7" w:rsidRPr="00AC037E" w:rsidTr="00A836F5">
        <w:tc>
          <w:tcPr>
            <w:tcW w:w="2694" w:type="dxa"/>
          </w:tcPr>
          <w:p w:rsidR="00266AF7" w:rsidRPr="00AC037E" w:rsidRDefault="00266AF7" w:rsidP="00A836F5">
            <w:pPr>
              <w:spacing w:after="0" w:line="240" w:lineRule="auto"/>
              <w:rPr>
                <w:rFonts w:eastAsia="Times New Roman" w:cs="Calibri"/>
                <w:b/>
                <w:sz w:val="24"/>
                <w:szCs w:val="24"/>
                <w:lang w:eastAsia="en-GB"/>
              </w:rPr>
            </w:pPr>
            <w:r w:rsidRPr="00AC037E">
              <w:rPr>
                <w:rFonts w:eastAsia="Times New Roman" w:cs="Calibri"/>
                <w:b/>
                <w:sz w:val="24"/>
                <w:szCs w:val="24"/>
                <w:lang w:eastAsia="en-GB"/>
              </w:rPr>
              <w:t>Contact details</w:t>
            </w:r>
          </w:p>
        </w:tc>
        <w:tc>
          <w:tcPr>
            <w:tcW w:w="5953" w:type="dxa"/>
          </w:tcPr>
          <w:p w:rsidR="00266AF7" w:rsidRPr="00AC037E" w:rsidRDefault="001E5CC9" w:rsidP="00266AF7">
            <w:pPr>
              <w:spacing w:after="0" w:line="240" w:lineRule="auto"/>
              <w:rPr>
                <w:rFonts w:eastAsia="Times New Roman" w:cs="Calibri"/>
                <w:b/>
                <w:sz w:val="24"/>
                <w:szCs w:val="24"/>
                <w:lang w:eastAsia="en-GB"/>
              </w:rPr>
            </w:pPr>
            <w:hyperlink r:id="rId6" w:history="1">
              <w:r w:rsidR="008A49D1" w:rsidRPr="008D7F84">
                <w:rPr>
                  <w:rStyle w:val="Hyperlink"/>
                </w:rPr>
                <w:t>nyoung@ssscfederation.co.uk</w:t>
              </w:r>
            </w:hyperlink>
            <w:r w:rsidR="008A49D1">
              <w:t xml:space="preserve"> </w:t>
            </w:r>
            <w:hyperlink r:id="rId7" w:history="1"/>
            <w:hyperlink r:id="rId8" w:history="1"/>
          </w:p>
        </w:tc>
      </w:tr>
      <w:tr w:rsidR="00266AF7" w:rsidRPr="00AC037E" w:rsidTr="00A836F5">
        <w:tc>
          <w:tcPr>
            <w:tcW w:w="2694" w:type="dxa"/>
          </w:tcPr>
          <w:p w:rsidR="00266AF7" w:rsidRPr="00AC037E" w:rsidRDefault="00266AF7" w:rsidP="00A836F5">
            <w:pPr>
              <w:spacing w:after="0" w:line="240" w:lineRule="auto"/>
              <w:rPr>
                <w:rFonts w:eastAsia="Times New Roman" w:cs="Calibri"/>
                <w:b/>
                <w:sz w:val="24"/>
                <w:szCs w:val="24"/>
                <w:lang w:eastAsia="en-GB"/>
              </w:rPr>
            </w:pPr>
            <w:r w:rsidRPr="00AC037E">
              <w:rPr>
                <w:rFonts w:eastAsia="Times New Roman" w:cs="Calibri"/>
                <w:b/>
                <w:sz w:val="24"/>
                <w:szCs w:val="24"/>
                <w:lang w:eastAsia="en-GB"/>
              </w:rPr>
              <w:t>Assessor</w:t>
            </w:r>
          </w:p>
        </w:tc>
        <w:tc>
          <w:tcPr>
            <w:tcW w:w="5953" w:type="dxa"/>
          </w:tcPr>
          <w:p w:rsidR="00266AF7" w:rsidRPr="00AC037E" w:rsidRDefault="005A5A9E" w:rsidP="00A836F5">
            <w:pPr>
              <w:spacing w:after="0" w:line="240" w:lineRule="auto"/>
              <w:rPr>
                <w:rFonts w:eastAsia="Times New Roman" w:cs="Calibri"/>
                <w:b/>
                <w:sz w:val="24"/>
                <w:szCs w:val="24"/>
                <w:lang w:eastAsia="en-GB"/>
              </w:rPr>
            </w:pPr>
            <w:r>
              <w:rPr>
                <w:rFonts w:eastAsia="Times New Roman" w:cs="Calibri"/>
                <w:b/>
                <w:sz w:val="24"/>
                <w:szCs w:val="24"/>
                <w:lang w:eastAsia="en-GB"/>
              </w:rPr>
              <w:t>Kim Salisbury</w:t>
            </w:r>
          </w:p>
        </w:tc>
      </w:tr>
      <w:tr w:rsidR="00266AF7" w:rsidRPr="00AC037E" w:rsidTr="00A836F5">
        <w:tc>
          <w:tcPr>
            <w:tcW w:w="2694" w:type="dxa"/>
          </w:tcPr>
          <w:p w:rsidR="00266AF7" w:rsidRPr="00AC037E" w:rsidRDefault="00266AF7" w:rsidP="00A836F5">
            <w:pPr>
              <w:spacing w:after="0" w:line="240" w:lineRule="auto"/>
              <w:rPr>
                <w:rFonts w:eastAsia="Times New Roman" w:cs="Calibri"/>
                <w:b/>
                <w:sz w:val="24"/>
                <w:szCs w:val="24"/>
                <w:lang w:eastAsia="en-GB"/>
              </w:rPr>
            </w:pPr>
            <w:r w:rsidRPr="00AC037E">
              <w:rPr>
                <w:rFonts w:eastAsia="Times New Roman" w:cs="Calibri"/>
                <w:b/>
                <w:sz w:val="24"/>
                <w:szCs w:val="24"/>
                <w:lang w:eastAsia="en-GB"/>
              </w:rPr>
              <w:t>Date of Assessment</w:t>
            </w:r>
          </w:p>
        </w:tc>
        <w:tc>
          <w:tcPr>
            <w:tcW w:w="5953" w:type="dxa"/>
          </w:tcPr>
          <w:p w:rsidR="00266AF7" w:rsidRPr="00AC037E" w:rsidRDefault="005A5A9E" w:rsidP="00A836F5">
            <w:pPr>
              <w:spacing w:after="0" w:line="240" w:lineRule="auto"/>
              <w:rPr>
                <w:rFonts w:eastAsia="Times New Roman" w:cs="Calibri"/>
                <w:b/>
                <w:sz w:val="24"/>
                <w:szCs w:val="24"/>
                <w:lang w:eastAsia="en-GB"/>
              </w:rPr>
            </w:pPr>
            <w:r>
              <w:rPr>
                <w:rFonts w:eastAsia="Times New Roman" w:cs="Calibri"/>
                <w:b/>
                <w:sz w:val="24"/>
                <w:szCs w:val="24"/>
                <w:lang w:eastAsia="en-GB"/>
              </w:rPr>
              <w:t>6</w:t>
            </w:r>
            <w:r w:rsidRPr="005A5A9E">
              <w:rPr>
                <w:rFonts w:eastAsia="Times New Roman" w:cs="Calibri"/>
                <w:b/>
                <w:sz w:val="24"/>
                <w:szCs w:val="24"/>
                <w:vertAlign w:val="superscript"/>
                <w:lang w:eastAsia="en-GB"/>
              </w:rPr>
              <w:t>th</w:t>
            </w:r>
            <w:r>
              <w:rPr>
                <w:rFonts w:eastAsia="Times New Roman" w:cs="Calibri"/>
                <w:b/>
                <w:sz w:val="24"/>
                <w:szCs w:val="24"/>
                <w:lang w:eastAsia="en-GB"/>
              </w:rPr>
              <w:t xml:space="preserve"> October 2017</w:t>
            </w:r>
          </w:p>
        </w:tc>
      </w:tr>
      <w:tr w:rsidR="00266AF7" w:rsidRPr="00AC037E" w:rsidTr="00A836F5">
        <w:tc>
          <w:tcPr>
            <w:tcW w:w="2694" w:type="dxa"/>
          </w:tcPr>
          <w:p w:rsidR="00266AF7" w:rsidRPr="00AC037E" w:rsidRDefault="00266AF7" w:rsidP="00A836F5">
            <w:pPr>
              <w:spacing w:after="0" w:line="240" w:lineRule="auto"/>
              <w:rPr>
                <w:rFonts w:eastAsia="Times New Roman" w:cs="Calibri"/>
                <w:b/>
                <w:sz w:val="24"/>
                <w:szCs w:val="24"/>
                <w:lang w:eastAsia="en-GB"/>
              </w:rPr>
            </w:pPr>
            <w:r w:rsidRPr="00AC037E">
              <w:rPr>
                <w:rFonts w:eastAsia="Times New Roman" w:cs="Calibri"/>
                <w:b/>
                <w:sz w:val="24"/>
                <w:szCs w:val="24"/>
                <w:lang w:eastAsia="en-GB"/>
              </w:rPr>
              <w:t>Level Awarded</w:t>
            </w:r>
          </w:p>
        </w:tc>
        <w:tc>
          <w:tcPr>
            <w:tcW w:w="5953" w:type="dxa"/>
          </w:tcPr>
          <w:p w:rsidR="00266AF7" w:rsidRPr="00AC037E" w:rsidRDefault="00266AF7" w:rsidP="00A836F5">
            <w:pPr>
              <w:spacing w:after="0" w:line="240" w:lineRule="auto"/>
              <w:rPr>
                <w:rFonts w:eastAsia="Times New Roman" w:cs="Calibri"/>
                <w:b/>
                <w:sz w:val="24"/>
                <w:szCs w:val="24"/>
                <w:lang w:eastAsia="en-GB"/>
              </w:rPr>
            </w:pPr>
            <w:r w:rsidRPr="00AC037E">
              <w:rPr>
                <w:rFonts w:eastAsia="Times New Roman" w:cs="Calibri"/>
                <w:b/>
                <w:sz w:val="24"/>
                <w:szCs w:val="24"/>
                <w:lang w:eastAsia="en-GB"/>
              </w:rPr>
              <w:t>Gold</w:t>
            </w:r>
          </w:p>
        </w:tc>
      </w:tr>
    </w:tbl>
    <w:p w:rsidR="00266AF7" w:rsidRPr="00AC037E" w:rsidRDefault="00266AF7" w:rsidP="00266AF7">
      <w:pPr>
        <w:spacing w:after="0" w:line="240" w:lineRule="auto"/>
        <w:rPr>
          <w:rFonts w:eastAsia="Times New Roman" w:cs="Calibri"/>
          <w:b/>
          <w:sz w:val="24"/>
          <w:szCs w:val="24"/>
          <w:lang w:eastAsia="en-GB"/>
        </w:rPr>
      </w:pPr>
    </w:p>
    <w:p w:rsidR="00266AF7" w:rsidRPr="00AC037E" w:rsidRDefault="00266AF7" w:rsidP="00266AF7">
      <w:pPr>
        <w:spacing w:after="0" w:line="240" w:lineRule="auto"/>
        <w:rPr>
          <w:rFonts w:eastAsia="Times New Roman" w:cs="Calibri"/>
          <w:b/>
          <w:sz w:val="28"/>
          <w:szCs w:val="28"/>
          <w:lang w:eastAsia="en-GB"/>
        </w:rPr>
      </w:pPr>
      <w:r w:rsidRPr="00AC037E">
        <w:rPr>
          <w:rFonts w:eastAsia="Times New Roman" w:cs="Calibri"/>
          <w:b/>
          <w:sz w:val="28"/>
          <w:szCs w:val="28"/>
          <w:lang w:eastAsia="en-GB"/>
        </w:rPr>
        <w:t>Meeting the criteria – summary statements</w:t>
      </w:r>
    </w:p>
    <w:p w:rsidR="00266AF7" w:rsidRPr="00AC037E" w:rsidRDefault="00266AF7" w:rsidP="00266AF7">
      <w:pPr>
        <w:spacing w:after="0" w:line="240" w:lineRule="auto"/>
        <w:rPr>
          <w:rFonts w:eastAsia="Times New Roman" w:cs="Calibri"/>
          <w:b/>
          <w:sz w:val="28"/>
          <w:szCs w:val="28"/>
          <w:lang w:eastAsia="en-GB"/>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66AF7" w:rsidRPr="00AC037E" w:rsidTr="00A836F5">
        <w:tc>
          <w:tcPr>
            <w:tcW w:w="8647" w:type="dxa"/>
          </w:tcPr>
          <w:p w:rsidR="00266AF7" w:rsidRPr="00AC037E" w:rsidRDefault="00266AF7" w:rsidP="00A836F5">
            <w:pPr>
              <w:spacing w:after="0" w:line="240" w:lineRule="auto"/>
              <w:rPr>
                <w:rFonts w:eastAsia="Times New Roman" w:cs="Calibri"/>
                <w:b/>
                <w:sz w:val="24"/>
                <w:szCs w:val="24"/>
                <w:lang w:eastAsia="en-GB"/>
              </w:rPr>
            </w:pPr>
            <w:r w:rsidRPr="00AC037E">
              <w:rPr>
                <w:rFonts w:eastAsia="Times New Roman" w:cs="Calibri"/>
                <w:b/>
                <w:sz w:val="24"/>
                <w:szCs w:val="24"/>
                <w:lang w:eastAsia="en-GB"/>
              </w:rPr>
              <w:t>Key Theme 1 Leadership and Management</w:t>
            </w:r>
          </w:p>
        </w:tc>
      </w:tr>
      <w:tr w:rsidR="00266AF7" w:rsidRPr="00AC037E" w:rsidTr="00A836F5">
        <w:tc>
          <w:tcPr>
            <w:tcW w:w="8647" w:type="dxa"/>
          </w:tcPr>
          <w:p w:rsidR="00266AF7" w:rsidRDefault="005A5A9E" w:rsidP="00A836F5">
            <w:pPr>
              <w:spacing w:after="0" w:line="240" w:lineRule="auto"/>
            </w:pPr>
            <w:r>
              <w:rPr>
                <w:rFonts w:eastAsia="Times New Roman" w:cs="Calibri"/>
                <w:b/>
                <w:sz w:val="24"/>
                <w:lang w:eastAsia="en-GB"/>
              </w:rPr>
              <w:t>1.1 The nursery</w:t>
            </w:r>
            <w:r w:rsidR="00266AF7">
              <w:rPr>
                <w:rFonts w:eastAsia="Times New Roman" w:cs="Calibri"/>
                <w:b/>
                <w:sz w:val="24"/>
                <w:lang w:eastAsia="en-GB"/>
              </w:rPr>
              <w:t xml:space="preserve"> has a clear vision for reading placing reading at the heart of the provision. It is evident in the School Evaluation Form that reading is a priority and there are embedded strategies in place to support reading for pleasure. The reading Advocate used surveys to inform the action plan. </w:t>
            </w:r>
            <w:r>
              <w:rPr>
                <w:rFonts w:eastAsia="Times New Roman" w:cs="Calibri"/>
                <w:b/>
                <w:sz w:val="24"/>
                <w:lang w:eastAsia="en-GB"/>
              </w:rPr>
              <w:t xml:space="preserve">Reading for pleasure is central to the Focused Improvement Plan at the nursery. </w:t>
            </w:r>
          </w:p>
          <w:p w:rsidR="005A5A9E" w:rsidRDefault="005A5A9E" w:rsidP="00A836F5">
            <w:pPr>
              <w:spacing w:after="0" w:line="240" w:lineRule="auto"/>
              <w:rPr>
                <w:rFonts w:eastAsia="Times New Roman" w:cs="Calibri"/>
                <w:b/>
                <w:sz w:val="24"/>
                <w:lang w:eastAsia="en-GB"/>
              </w:rPr>
            </w:pPr>
          </w:p>
          <w:p w:rsidR="00266AF7" w:rsidRDefault="005A5A9E" w:rsidP="00A836F5">
            <w:pPr>
              <w:spacing w:after="0" w:line="240" w:lineRule="auto"/>
              <w:rPr>
                <w:rFonts w:eastAsia="Times New Roman" w:cs="Calibri"/>
                <w:b/>
                <w:sz w:val="24"/>
                <w:lang w:eastAsia="en-GB"/>
              </w:rPr>
            </w:pPr>
            <w:r>
              <w:rPr>
                <w:rFonts w:eastAsia="Times New Roman" w:cs="Calibri"/>
                <w:b/>
                <w:sz w:val="24"/>
                <w:lang w:eastAsia="en-GB"/>
              </w:rPr>
              <w:t xml:space="preserve">The reading advocate has had the full support of her team as well as the leadership team from the nursery and adjoining school. The reading advocate and nursery manager have high aspirations for children’s reading and strive to offer children a wide range of experiences that will foster a lifelong love of reading. </w:t>
            </w:r>
          </w:p>
          <w:p w:rsidR="00266AF7" w:rsidRDefault="00266AF7" w:rsidP="00A836F5">
            <w:pPr>
              <w:spacing w:after="0" w:line="240" w:lineRule="auto"/>
              <w:rPr>
                <w:rFonts w:eastAsia="Times New Roman" w:cs="Calibri"/>
                <w:b/>
                <w:sz w:val="24"/>
                <w:lang w:eastAsia="en-GB"/>
              </w:rPr>
            </w:pPr>
          </w:p>
          <w:p w:rsidR="005A5A9E" w:rsidRPr="005A5A9E" w:rsidRDefault="00266AF7" w:rsidP="005A5A9E">
            <w:pPr>
              <w:spacing w:after="0" w:line="240" w:lineRule="auto"/>
              <w:rPr>
                <w:rFonts w:eastAsia="Times New Roman" w:cs="Calibri"/>
                <w:b/>
                <w:sz w:val="24"/>
                <w:lang w:eastAsia="en-GB"/>
              </w:rPr>
            </w:pPr>
            <w:r>
              <w:rPr>
                <w:rFonts w:eastAsia="Times New Roman" w:cs="Calibri"/>
                <w:b/>
                <w:sz w:val="24"/>
                <w:lang w:eastAsia="en-GB"/>
              </w:rPr>
              <w:t xml:space="preserve">1.2 </w:t>
            </w:r>
            <w:r w:rsidR="005A5A9E">
              <w:rPr>
                <w:rFonts w:eastAsia="Times New Roman" w:cs="Calibri"/>
                <w:b/>
                <w:sz w:val="24"/>
                <w:lang w:eastAsia="en-GB"/>
              </w:rPr>
              <w:t>Data presented during the assessment visit demonstrate that child</w:t>
            </w:r>
            <w:r w:rsidR="00DB0AB4">
              <w:rPr>
                <w:rFonts w:eastAsia="Times New Roman" w:cs="Calibri"/>
                <w:b/>
                <w:sz w:val="24"/>
                <w:lang w:eastAsia="en-GB"/>
              </w:rPr>
              <w:t xml:space="preserve">ren make good progress in reading from their, often low, starting points.  </w:t>
            </w:r>
            <w:r w:rsidR="005A5A9E" w:rsidRPr="005A5A9E">
              <w:rPr>
                <w:rFonts w:eastAsia="Times New Roman" w:cs="Calibri"/>
                <w:b/>
                <w:sz w:val="24"/>
                <w:lang w:eastAsia="en-GB"/>
              </w:rPr>
              <w:t xml:space="preserve">Consistent approaches to reading for pleasure impact </w:t>
            </w:r>
            <w:r w:rsidR="00DB0AB4">
              <w:rPr>
                <w:rFonts w:eastAsia="Times New Roman" w:cs="Calibri"/>
                <w:b/>
                <w:sz w:val="24"/>
                <w:lang w:eastAsia="en-GB"/>
              </w:rPr>
              <w:t xml:space="preserve">positively </w:t>
            </w:r>
            <w:r w:rsidR="005A5A9E" w:rsidRPr="005A5A9E">
              <w:rPr>
                <w:rFonts w:eastAsia="Times New Roman" w:cs="Calibri"/>
                <w:b/>
                <w:sz w:val="24"/>
                <w:lang w:eastAsia="en-GB"/>
              </w:rPr>
              <w:t xml:space="preserve">on the Early Years outcomes for children. </w:t>
            </w:r>
          </w:p>
          <w:p w:rsidR="005A5A9E" w:rsidRPr="005A5A9E" w:rsidRDefault="005A5A9E" w:rsidP="005A5A9E">
            <w:pPr>
              <w:spacing w:after="0" w:line="240" w:lineRule="auto"/>
              <w:rPr>
                <w:rFonts w:eastAsia="Times New Roman" w:cs="Calibri"/>
                <w:b/>
                <w:sz w:val="24"/>
                <w:lang w:eastAsia="en-GB"/>
              </w:rPr>
            </w:pPr>
          </w:p>
          <w:p w:rsidR="005A5A9E" w:rsidRDefault="00DB0AB4" w:rsidP="005A5A9E">
            <w:pPr>
              <w:spacing w:after="0" w:line="240" w:lineRule="auto"/>
              <w:rPr>
                <w:rFonts w:eastAsia="Times New Roman" w:cs="Calibri"/>
                <w:b/>
                <w:sz w:val="24"/>
                <w:lang w:eastAsia="en-GB"/>
              </w:rPr>
            </w:pPr>
            <w:r>
              <w:rPr>
                <w:rFonts w:eastAsia="Times New Roman" w:cs="Calibri"/>
                <w:b/>
                <w:sz w:val="24"/>
                <w:lang w:eastAsia="en-GB"/>
              </w:rPr>
              <w:t>During the learning walk children had access to</w:t>
            </w:r>
            <w:r w:rsidR="005A5A9E" w:rsidRPr="005A5A9E">
              <w:rPr>
                <w:rFonts w:eastAsia="Times New Roman" w:cs="Calibri"/>
                <w:b/>
                <w:sz w:val="24"/>
                <w:lang w:eastAsia="en-GB"/>
              </w:rPr>
              <w:t xml:space="preserve"> a range of resources that support the</w:t>
            </w:r>
            <w:r w:rsidR="009E220A">
              <w:rPr>
                <w:rFonts w:eastAsia="Times New Roman" w:cs="Calibri"/>
                <w:b/>
                <w:sz w:val="24"/>
                <w:lang w:eastAsia="en-GB"/>
              </w:rPr>
              <w:t>ir</w:t>
            </w:r>
            <w:r w:rsidR="005A5A9E" w:rsidRPr="005A5A9E">
              <w:rPr>
                <w:rFonts w:eastAsia="Times New Roman" w:cs="Calibri"/>
                <w:b/>
                <w:sz w:val="24"/>
                <w:lang w:eastAsia="en-GB"/>
              </w:rPr>
              <w:t xml:space="preserve"> development of reading.</w:t>
            </w:r>
            <w:r>
              <w:rPr>
                <w:rFonts w:eastAsia="Times New Roman" w:cs="Calibri"/>
                <w:b/>
                <w:sz w:val="24"/>
                <w:lang w:eastAsia="en-GB"/>
              </w:rPr>
              <w:t xml:space="preserve"> A wide range of reading materials are available for children including traditional story books, magazines, dual language books and no</w:t>
            </w:r>
            <w:r w:rsidR="009E220A">
              <w:rPr>
                <w:rFonts w:eastAsia="Times New Roman" w:cs="Calibri"/>
                <w:b/>
                <w:sz w:val="24"/>
                <w:lang w:eastAsia="en-GB"/>
              </w:rPr>
              <w:t>n-</w:t>
            </w:r>
            <w:r>
              <w:rPr>
                <w:rFonts w:eastAsia="Times New Roman" w:cs="Calibri"/>
                <w:b/>
                <w:sz w:val="24"/>
                <w:lang w:eastAsia="en-GB"/>
              </w:rPr>
              <w:t xml:space="preserve"> fiction texts. Children also play with puppets and story props which support their development of story and rhyme vocabulary.</w:t>
            </w:r>
          </w:p>
          <w:p w:rsidR="00DB0AB4" w:rsidRDefault="00DB0AB4" w:rsidP="005A5A9E">
            <w:pPr>
              <w:spacing w:after="0" w:line="240" w:lineRule="auto"/>
              <w:rPr>
                <w:rFonts w:eastAsia="Times New Roman" w:cs="Calibri"/>
                <w:b/>
                <w:sz w:val="24"/>
                <w:lang w:eastAsia="en-GB"/>
              </w:rPr>
            </w:pPr>
          </w:p>
          <w:p w:rsidR="00DB0AB4" w:rsidRPr="005A5A9E" w:rsidRDefault="00DB0AB4" w:rsidP="005A5A9E">
            <w:pPr>
              <w:spacing w:after="0" w:line="240" w:lineRule="auto"/>
              <w:rPr>
                <w:rFonts w:eastAsia="Times New Roman" w:cs="Calibri"/>
                <w:b/>
                <w:sz w:val="24"/>
                <w:lang w:eastAsia="en-GB"/>
              </w:rPr>
            </w:pPr>
            <w:r>
              <w:rPr>
                <w:rFonts w:eastAsia="Times New Roman" w:cs="Calibri"/>
                <w:b/>
                <w:sz w:val="24"/>
                <w:lang w:eastAsia="en-GB"/>
              </w:rPr>
              <w:t>During the assessment visit the toddler children were listening attentively to a story read by an adult. The children clearly understand the expectations in terms of listening and participating when a</w:t>
            </w:r>
            <w:r w:rsidR="009E220A">
              <w:rPr>
                <w:rFonts w:eastAsia="Times New Roman" w:cs="Calibri"/>
                <w:b/>
                <w:sz w:val="24"/>
                <w:lang w:eastAsia="en-GB"/>
              </w:rPr>
              <w:t>ppropriate. The children</w:t>
            </w:r>
            <w:r>
              <w:rPr>
                <w:rFonts w:eastAsia="Times New Roman" w:cs="Calibri"/>
                <w:b/>
                <w:sz w:val="24"/>
                <w:lang w:eastAsia="en-GB"/>
              </w:rPr>
              <w:t xml:space="preserve"> have experience of stories and enjoy being read to regularly. </w:t>
            </w:r>
          </w:p>
          <w:p w:rsidR="005A5A9E" w:rsidRDefault="005A5A9E" w:rsidP="005A5A9E">
            <w:pPr>
              <w:spacing w:after="0" w:line="240" w:lineRule="auto"/>
              <w:rPr>
                <w:rFonts w:eastAsia="Times New Roman" w:cs="Calibri"/>
                <w:b/>
                <w:sz w:val="24"/>
                <w:lang w:eastAsia="en-GB"/>
              </w:rPr>
            </w:pPr>
          </w:p>
          <w:p w:rsidR="00DB0AB4" w:rsidRPr="005A5A9E" w:rsidRDefault="009E220A" w:rsidP="005A5A9E">
            <w:pPr>
              <w:spacing w:after="0" w:line="240" w:lineRule="auto"/>
              <w:rPr>
                <w:rFonts w:eastAsia="Times New Roman" w:cs="Calibri"/>
                <w:b/>
                <w:sz w:val="24"/>
                <w:lang w:eastAsia="en-GB"/>
              </w:rPr>
            </w:pPr>
            <w:r>
              <w:rPr>
                <w:rFonts w:eastAsia="Times New Roman" w:cs="Calibri"/>
                <w:b/>
                <w:sz w:val="24"/>
                <w:lang w:eastAsia="en-GB"/>
              </w:rPr>
              <w:t>Inviting role play</w:t>
            </w:r>
            <w:r w:rsidR="00DB0AB4">
              <w:rPr>
                <w:rFonts w:eastAsia="Times New Roman" w:cs="Calibri"/>
                <w:b/>
                <w:sz w:val="24"/>
                <w:lang w:eastAsia="en-GB"/>
              </w:rPr>
              <w:t xml:space="preserve"> areas and Communication Friendly Spaces support children in developing speaking and listening skills. Areas of provision are well thought out in all rooms and children are exposed to books in all areas of the provision. </w:t>
            </w:r>
          </w:p>
          <w:p w:rsidR="00266AF7" w:rsidRDefault="00266AF7" w:rsidP="00A836F5">
            <w:pPr>
              <w:spacing w:after="0" w:line="240" w:lineRule="auto"/>
              <w:rPr>
                <w:rFonts w:eastAsia="Times New Roman" w:cs="Calibri"/>
                <w:b/>
                <w:sz w:val="24"/>
                <w:lang w:eastAsia="en-GB"/>
              </w:rPr>
            </w:pPr>
          </w:p>
          <w:p w:rsidR="009E220A" w:rsidRPr="009E220A" w:rsidRDefault="00266AF7" w:rsidP="009E220A">
            <w:pPr>
              <w:spacing w:after="0" w:line="240" w:lineRule="auto"/>
              <w:rPr>
                <w:rFonts w:eastAsia="Times New Roman" w:cs="Calibri"/>
                <w:b/>
                <w:sz w:val="24"/>
                <w:lang w:eastAsia="en-GB"/>
              </w:rPr>
            </w:pPr>
            <w:r w:rsidRPr="00FE443F">
              <w:rPr>
                <w:rFonts w:eastAsia="Times New Roman" w:cs="Calibri"/>
                <w:b/>
                <w:sz w:val="24"/>
                <w:szCs w:val="24"/>
                <w:lang w:eastAsia="en-GB"/>
              </w:rPr>
              <w:t>1.</w:t>
            </w:r>
            <w:r w:rsidR="00FE443F" w:rsidRPr="00FE443F">
              <w:rPr>
                <w:b/>
                <w:sz w:val="24"/>
                <w:szCs w:val="24"/>
              </w:rPr>
              <w:t xml:space="preserve">3 </w:t>
            </w:r>
            <w:r w:rsidR="009E220A" w:rsidRPr="00FE443F">
              <w:rPr>
                <w:rFonts w:eastAsia="Times New Roman" w:cs="Calibri"/>
                <w:b/>
                <w:sz w:val="24"/>
                <w:szCs w:val="24"/>
                <w:lang w:eastAsia="en-GB"/>
              </w:rPr>
              <w:t>Families</w:t>
            </w:r>
            <w:r w:rsidR="009E220A" w:rsidRPr="009E220A">
              <w:rPr>
                <w:rFonts w:eastAsia="Times New Roman" w:cs="Calibri"/>
                <w:b/>
                <w:sz w:val="24"/>
                <w:lang w:eastAsia="en-GB"/>
              </w:rPr>
              <w:t xml:space="preserve"> are </w:t>
            </w:r>
            <w:r w:rsidR="009E220A">
              <w:rPr>
                <w:rFonts w:eastAsia="Times New Roman" w:cs="Calibri"/>
                <w:b/>
                <w:sz w:val="24"/>
                <w:lang w:eastAsia="en-GB"/>
              </w:rPr>
              <w:t xml:space="preserve">encouraged to share stories at home and </w:t>
            </w:r>
            <w:r w:rsidR="00FE443F">
              <w:rPr>
                <w:rFonts w:eastAsia="Times New Roman" w:cs="Calibri"/>
                <w:b/>
                <w:sz w:val="24"/>
                <w:lang w:eastAsia="en-GB"/>
              </w:rPr>
              <w:t xml:space="preserve">are </w:t>
            </w:r>
            <w:r w:rsidR="009E220A">
              <w:rPr>
                <w:rFonts w:eastAsia="Times New Roman" w:cs="Calibri"/>
                <w:b/>
                <w:sz w:val="24"/>
                <w:lang w:eastAsia="en-GB"/>
              </w:rPr>
              <w:t>support</w:t>
            </w:r>
            <w:r w:rsidR="00FE443F">
              <w:rPr>
                <w:rFonts w:eastAsia="Times New Roman" w:cs="Calibri"/>
                <w:b/>
                <w:sz w:val="24"/>
                <w:lang w:eastAsia="en-GB"/>
              </w:rPr>
              <w:t>ed in identifying ways to help their child progress in their ability to read</w:t>
            </w:r>
            <w:r w:rsidR="009E220A" w:rsidRPr="009E220A">
              <w:rPr>
                <w:rFonts w:eastAsia="Times New Roman" w:cs="Calibri"/>
                <w:b/>
                <w:sz w:val="24"/>
                <w:lang w:eastAsia="en-GB"/>
              </w:rPr>
              <w:t xml:space="preserve">. </w:t>
            </w:r>
            <w:r w:rsidR="009E220A">
              <w:rPr>
                <w:rFonts w:eastAsia="Times New Roman" w:cs="Calibri"/>
                <w:b/>
                <w:sz w:val="24"/>
                <w:lang w:eastAsia="en-GB"/>
              </w:rPr>
              <w:t xml:space="preserve"> A lending library is available and records show that this service is used by families regularly.</w:t>
            </w:r>
          </w:p>
          <w:p w:rsidR="009E220A" w:rsidRPr="009E220A" w:rsidRDefault="009E220A" w:rsidP="009E220A">
            <w:pPr>
              <w:spacing w:after="0" w:line="240" w:lineRule="auto"/>
              <w:rPr>
                <w:rFonts w:eastAsia="Times New Roman" w:cs="Calibri"/>
                <w:b/>
                <w:sz w:val="24"/>
                <w:lang w:eastAsia="en-GB"/>
              </w:rPr>
            </w:pPr>
          </w:p>
          <w:p w:rsidR="009E220A" w:rsidRPr="009E220A" w:rsidRDefault="009E220A" w:rsidP="009E220A">
            <w:pPr>
              <w:spacing w:after="0" w:line="240" w:lineRule="auto"/>
              <w:rPr>
                <w:rFonts w:eastAsia="Times New Roman" w:cs="Calibri"/>
                <w:b/>
                <w:sz w:val="24"/>
                <w:lang w:eastAsia="en-GB"/>
              </w:rPr>
            </w:pPr>
            <w:r>
              <w:rPr>
                <w:rFonts w:eastAsia="Times New Roman" w:cs="Calibri"/>
                <w:b/>
                <w:sz w:val="24"/>
                <w:lang w:eastAsia="en-GB"/>
              </w:rPr>
              <w:t>Reading surveys have been</w:t>
            </w:r>
            <w:r w:rsidRPr="009E220A">
              <w:rPr>
                <w:rFonts w:eastAsia="Times New Roman" w:cs="Calibri"/>
                <w:b/>
                <w:sz w:val="24"/>
                <w:lang w:eastAsia="en-GB"/>
              </w:rPr>
              <w:t xml:space="preserve"> conducted to gather information about children and their families’ interests and how these link to reading. </w:t>
            </w:r>
          </w:p>
          <w:p w:rsidR="009E220A" w:rsidRPr="009E220A" w:rsidRDefault="009E220A" w:rsidP="009E220A">
            <w:pPr>
              <w:spacing w:after="0" w:line="240" w:lineRule="auto"/>
              <w:rPr>
                <w:rFonts w:eastAsia="Times New Roman" w:cs="Calibri"/>
                <w:b/>
                <w:sz w:val="24"/>
                <w:lang w:eastAsia="en-GB"/>
              </w:rPr>
            </w:pPr>
          </w:p>
          <w:p w:rsidR="009E220A" w:rsidRPr="009E220A" w:rsidRDefault="009E220A" w:rsidP="009E220A">
            <w:pPr>
              <w:spacing w:after="0" w:line="240" w:lineRule="auto"/>
              <w:rPr>
                <w:rFonts w:eastAsia="Times New Roman" w:cs="Calibri"/>
                <w:b/>
                <w:sz w:val="24"/>
                <w:lang w:eastAsia="en-GB"/>
              </w:rPr>
            </w:pPr>
            <w:r>
              <w:rPr>
                <w:rFonts w:eastAsia="Times New Roman" w:cs="Calibri"/>
                <w:b/>
                <w:sz w:val="24"/>
                <w:lang w:eastAsia="en-GB"/>
              </w:rPr>
              <w:t>A case study has been</w:t>
            </w:r>
            <w:r w:rsidRPr="009E220A">
              <w:rPr>
                <w:rFonts w:eastAsia="Times New Roman" w:cs="Calibri"/>
                <w:b/>
                <w:sz w:val="24"/>
                <w:lang w:eastAsia="en-GB"/>
              </w:rPr>
              <w:t xml:space="preserve"> developed to gather evidence of the impact of specific children and their families over a period of time.</w:t>
            </w:r>
          </w:p>
          <w:p w:rsidR="009E220A" w:rsidRPr="009E220A" w:rsidRDefault="009E220A" w:rsidP="009E220A">
            <w:pPr>
              <w:spacing w:after="0" w:line="240" w:lineRule="auto"/>
              <w:rPr>
                <w:rFonts w:eastAsia="Times New Roman" w:cs="Calibri"/>
                <w:b/>
                <w:sz w:val="24"/>
                <w:lang w:eastAsia="en-GB"/>
              </w:rPr>
            </w:pPr>
          </w:p>
          <w:p w:rsidR="009E220A" w:rsidRPr="009E220A" w:rsidRDefault="009E220A" w:rsidP="009E220A">
            <w:pPr>
              <w:spacing w:after="0" w:line="240" w:lineRule="auto"/>
              <w:rPr>
                <w:rFonts w:eastAsia="Times New Roman" w:cs="Calibri"/>
                <w:b/>
                <w:sz w:val="24"/>
                <w:lang w:eastAsia="en-GB"/>
              </w:rPr>
            </w:pPr>
            <w:r>
              <w:rPr>
                <w:rFonts w:eastAsia="Times New Roman" w:cs="Calibri"/>
                <w:b/>
                <w:sz w:val="24"/>
                <w:lang w:eastAsia="en-GB"/>
              </w:rPr>
              <w:t xml:space="preserve">Children take turns to take a </w:t>
            </w:r>
            <w:r w:rsidR="00057CCA">
              <w:rPr>
                <w:rFonts w:eastAsia="Times New Roman" w:cs="Calibri"/>
                <w:b/>
                <w:sz w:val="24"/>
                <w:lang w:eastAsia="en-GB"/>
              </w:rPr>
              <w:t xml:space="preserve">teddy </w:t>
            </w:r>
            <w:r>
              <w:rPr>
                <w:rFonts w:eastAsia="Times New Roman" w:cs="Calibri"/>
                <w:b/>
                <w:sz w:val="24"/>
                <w:lang w:eastAsia="en-GB"/>
              </w:rPr>
              <w:t xml:space="preserve">bear home, look after it and write about its adventures. Parents/carers have responded positively to this. Parents have also sent in photographs of times that their children read at home. These are displayed in the reading floor book. </w:t>
            </w:r>
          </w:p>
          <w:p w:rsidR="00266AF7" w:rsidRDefault="00266AF7" w:rsidP="00A836F5">
            <w:pPr>
              <w:spacing w:after="0" w:line="240" w:lineRule="auto"/>
              <w:rPr>
                <w:rFonts w:eastAsia="Times New Roman" w:cs="Calibri"/>
                <w:b/>
                <w:sz w:val="24"/>
                <w:lang w:eastAsia="en-GB"/>
              </w:rPr>
            </w:pPr>
          </w:p>
          <w:p w:rsidR="009E220A" w:rsidRDefault="009E220A" w:rsidP="00A836F5">
            <w:pPr>
              <w:spacing w:after="0" w:line="240" w:lineRule="auto"/>
              <w:rPr>
                <w:rFonts w:eastAsia="Times New Roman" w:cs="Calibri"/>
                <w:b/>
                <w:sz w:val="24"/>
                <w:lang w:eastAsia="en-GB"/>
              </w:rPr>
            </w:pPr>
            <w:r>
              <w:rPr>
                <w:rFonts w:eastAsia="Times New Roman" w:cs="Calibri"/>
                <w:b/>
                <w:sz w:val="24"/>
                <w:lang w:eastAsia="en-GB"/>
              </w:rPr>
              <w:t xml:space="preserve">A staff lending library is also available and adults are encouraged to become role models for the children by reading regularly. </w:t>
            </w:r>
          </w:p>
          <w:p w:rsidR="00CE46B7" w:rsidRPr="00AC037E" w:rsidRDefault="00CE46B7" w:rsidP="00A836F5">
            <w:pPr>
              <w:spacing w:after="0" w:line="240" w:lineRule="auto"/>
              <w:rPr>
                <w:rFonts w:eastAsia="Times New Roman" w:cs="Calibri"/>
                <w:b/>
                <w:sz w:val="24"/>
                <w:lang w:eastAsia="en-GB"/>
              </w:rPr>
            </w:pPr>
          </w:p>
        </w:tc>
      </w:tr>
      <w:tr w:rsidR="00266AF7" w:rsidRPr="00AC037E" w:rsidTr="00A836F5">
        <w:tc>
          <w:tcPr>
            <w:tcW w:w="8647" w:type="dxa"/>
          </w:tcPr>
          <w:p w:rsidR="00266AF7" w:rsidRPr="00AC037E" w:rsidRDefault="00266AF7" w:rsidP="00A836F5">
            <w:pPr>
              <w:spacing w:after="0" w:line="240" w:lineRule="auto"/>
              <w:rPr>
                <w:rFonts w:eastAsia="Times New Roman" w:cs="Calibri"/>
                <w:b/>
                <w:sz w:val="24"/>
                <w:szCs w:val="24"/>
                <w:lang w:eastAsia="en-GB"/>
              </w:rPr>
            </w:pPr>
            <w:r w:rsidRPr="00AC037E">
              <w:rPr>
                <w:rFonts w:eastAsia="Times New Roman" w:cs="Calibri"/>
                <w:b/>
                <w:sz w:val="24"/>
                <w:szCs w:val="24"/>
                <w:lang w:eastAsia="en-GB"/>
              </w:rPr>
              <w:lastRenderedPageBreak/>
              <w:t>Key Theme 2 Workforce Development</w:t>
            </w:r>
          </w:p>
        </w:tc>
      </w:tr>
      <w:tr w:rsidR="00266AF7" w:rsidRPr="00AC037E" w:rsidTr="00A836F5">
        <w:tc>
          <w:tcPr>
            <w:tcW w:w="8647" w:type="dxa"/>
          </w:tcPr>
          <w:p w:rsidR="00FE443F" w:rsidRDefault="00FE443F" w:rsidP="00FE443F">
            <w:pPr>
              <w:spacing w:after="0" w:line="240" w:lineRule="auto"/>
              <w:rPr>
                <w:rFonts w:eastAsia="Times New Roman" w:cs="Calibri"/>
                <w:b/>
                <w:sz w:val="24"/>
                <w:lang w:eastAsia="en-GB"/>
              </w:rPr>
            </w:pPr>
          </w:p>
          <w:p w:rsidR="00FE443F" w:rsidRPr="00FE443F" w:rsidRDefault="00FE443F" w:rsidP="00FE443F">
            <w:pPr>
              <w:spacing w:after="0" w:line="240" w:lineRule="auto"/>
              <w:rPr>
                <w:rFonts w:eastAsia="Times New Roman" w:cs="Calibri"/>
                <w:b/>
                <w:sz w:val="24"/>
                <w:lang w:eastAsia="en-GB"/>
              </w:rPr>
            </w:pPr>
            <w:r w:rsidRPr="00FE443F">
              <w:rPr>
                <w:rFonts w:eastAsia="Times New Roman" w:cs="Calibri"/>
                <w:b/>
                <w:sz w:val="24"/>
                <w:lang w:eastAsia="en-GB"/>
              </w:rPr>
              <w:t>The Reading Advocate leads a coherent strategy to the setting for promoting reading for pleasure.</w:t>
            </w:r>
            <w:r>
              <w:rPr>
                <w:rFonts w:eastAsia="Times New Roman" w:cs="Calibri"/>
                <w:b/>
                <w:sz w:val="24"/>
                <w:lang w:eastAsia="en-GB"/>
              </w:rPr>
              <w:t xml:space="preserve"> She has ensured that a wide range of books and supporting resources are available for children and their families to access on a daily basis. </w:t>
            </w:r>
          </w:p>
          <w:p w:rsidR="00FE443F" w:rsidRPr="00FE443F" w:rsidRDefault="00FE443F" w:rsidP="00FE443F">
            <w:pPr>
              <w:spacing w:after="0" w:line="240" w:lineRule="auto"/>
              <w:rPr>
                <w:rFonts w:eastAsia="Times New Roman" w:cs="Calibri"/>
                <w:b/>
                <w:sz w:val="24"/>
                <w:lang w:eastAsia="en-GB"/>
              </w:rPr>
            </w:pPr>
          </w:p>
          <w:p w:rsidR="00FE443F" w:rsidRPr="00FE443F" w:rsidRDefault="00FE443F" w:rsidP="00FE443F">
            <w:pPr>
              <w:spacing w:after="0" w:line="240" w:lineRule="auto"/>
              <w:rPr>
                <w:rFonts w:eastAsia="Times New Roman" w:cs="Calibri"/>
                <w:b/>
                <w:sz w:val="24"/>
                <w:lang w:eastAsia="en-GB"/>
              </w:rPr>
            </w:pPr>
            <w:r>
              <w:rPr>
                <w:rFonts w:eastAsia="Times New Roman" w:cs="Calibri"/>
                <w:b/>
                <w:sz w:val="24"/>
                <w:lang w:eastAsia="en-GB"/>
              </w:rPr>
              <w:t>The senior leadership team are fully committed to staff CPD. Training has been directly linked to data analysis and children’s areas for development. Recent training includes phonics and reading alongside regular staff meetings and sharing of good practice within the federation.  Training logs are kept and the impact of training is discussed during supervision meetings.</w:t>
            </w:r>
          </w:p>
          <w:p w:rsidR="00FE443F" w:rsidRPr="00FE443F" w:rsidRDefault="00FE443F" w:rsidP="00FE443F">
            <w:pPr>
              <w:spacing w:after="0" w:line="240" w:lineRule="auto"/>
              <w:rPr>
                <w:rFonts w:eastAsia="Times New Roman" w:cs="Calibri"/>
                <w:b/>
                <w:sz w:val="24"/>
                <w:lang w:eastAsia="en-GB"/>
              </w:rPr>
            </w:pPr>
          </w:p>
          <w:p w:rsidR="00266AF7" w:rsidRDefault="00FE443F" w:rsidP="00FE443F">
            <w:pPr>
              <w:spacing w:after="0" w:line="240" w:lineRule="auto"/>
              <w:rPr>
                <w:rFonts w:eastAsia="Times New Roman" w:cs="Calibri"/>
                <w:b/>
                <w:sz w:val="24"/>
                <w:lang w:eastAsia="en-GB"/>
              </w:rPr>
            </w:pPr>
            <w:r>
              <w:rPr>
                <w:rFonts w:eastAsia="Times New Roman" w:cs="Calibri"/>
                <w:b/>
                <w:sz w:val="24"/>
                <w:lang w:eastAsia="en-GB"/>
              </w:rPr>
              <w:t>Staff appreciate the links between reading and other areas of learning. There is a clear focus on communication and language in all rooms and staff recognise the importance of supporting children’s speaking and listening skills. All staff have a secure</w:t>
            </w:r>
            <w:r w:rsidRPr="00FE443F">
              <w:rPr>
                <w:rFonts w:eastAsia="Times New Roman" w:cs="Calibri"/>
                <w:b/>
                <w:sz w:val="24"/>
                <w:lang w:eastAsia="en-GB"/>
              </w:rPr>
              <w:t xml:space="preserve"> knowledge of appropriate resources to promote communication, language and reading</w:t>
            </w:r>
            <w:r>
              <w:rPr>
                <w:rFonts w:eastAsia="Times New Roman" w:cs="Calibri"/>
                <w:b/>
                <w:sz w:val="24"/>
                <w:lang w:eastAsia="en-GB"/>
              </w:rPr>
              <w:t>.</w:t>
            </w:r>
          </w:p>
          <w:p w:rsidR="00FE443F" w:rsidRPr="00AC037E" w:rsidRDefault="00FE443F" w:rsidP="00FE443F">
            <w:pPr>
              <w:spacing w:after="0" w:line="240" w:lineRule="auto"/>
              <w:rPr>
                <w:rFonts w:eastAsia="Times New Roman" w:cs="Calibri"/>
                <w:b/>
                <w:sz w:val="24"/>
                <w:lang w:eastAsia="en-GB"/>
              </w:rPr>
            </w:pPr>
          </w:p>
        </w:tc>
      </w:tr>
      <w:tr w:rsidR="00266AF7" w:rsidRPr="00AC037E" w:rsidTr="00A836F5">
        <w:tc>
          <w:tcPr>
            <w:tcW w:w="8647" w:type="dxa"/>
          </w:tcPr>
          <w:p w:rsidR="00266AF7" w:rsidRPr="00AC037E" w:rsidRDefault="00266AF7" w:rsidP="00A836F5">
            <w:pPr>
              <w:spacing w:after="0" w:line="240" w:lineRule="auto"/>
              <w:rPr>
                <w:rFonts w:eastAsia="Times New Roman" w:cs="Calibri"/>
                <w:b/>
                <w:sz w:val="24"/>
                <w:szCs w:val="24"/>
                <w:lang w:eastAsia="en-GB"/>
              </w:rPr>
            </w:pPr>
            <w:r w:rsidRPr="00AC037E">
              <w:rPr>
                <w:rFonts w:eastAsia="Times New Roman" w:cs="Calibri"/>
                <w:b/>
                <w:sz w:val="24"/>
                <w:szCs w:val="24"/>
                <w:lang w:eastAsia="en-GB"/>
              </w:rPr>
              <w:t>Key Theme 3 Reading Promotion, Events and Community Involvement</w:t>
            </w:r>
          </w:p>
        </w:tc>
      </w:tr>
      <w:tr w:rsidR="00266AF7" w:rsidRPr="00AC037E" w:rsidTr="00A836F5">
        <w:tc>
          <w:tcPr>
            <w:tcW w:w="8647" w:type="dxa"/>
          </w:tcPr>
          <w:p w:rsidR="00867137" w:rsidRDefault="00867137" w:rsidP="009813F0">
            <w:pPr>
              <w:spacing w:after="0" w:line="240" w:lineRule="auto"/>
              <w:rPr>
                <w:rFonts w:eastAsia="Times New Roman" w:cs="Calibri"/>
                <w:b/>
                <w:sz w:val="24"/>
                <w:lang w:eastAsia="en-GB"/>
              </w:rPr>
            </w:pPr>
          </w:p>
          <w:p w:rsidR="00057CCA" w:rsidRPr="00057CCA" w:rsidRDefault="00057CCA" w:rsidP="00057CCA">
            <w:pPr>
              <w:spacing w:after="0" w:line="240" w:lineRule="auto"/>
              <w:rPr>
                <w:rFonts w:eastAsia="Times New Roman" w:cs="Calibri"/>
                <w:b/>
                <w:sz w:val="24"/>
                <w:lang w:eastAsia="en-GB"/>
              </w:rPr>
            </w:pPr>
            <w:r w:rsidRPr="00057CCA">
              <w:rPr>
                <w:rFonts w:eastAsia="Times New Roman" w:cs="Calibri"/>
                <w:b/>
                <w:sz w:val="24"/>
                <w:lang w:eastAsia="en-GB"/>
              </w:rPr>
              <w:t>The Reading Advocate lead</w:t>
            </w:r>
            <w:r w:rsidR="00DA7E68">
              <w:rPr>
                <w:rFonts w:eastAsia="Times New Roman" w:cs="Calibri"/>
                <w:b/>
                <w:sz w:val="24"/>
                <w:lang w:eastAsia="en-GB"/>
              </w:rPr>
              <w:t>s a coherent strategy</w:t>
            </w:r>
            <w:r w:rsidRPr="00057CCA">
              <w:rPr>
                <w:rFonts w:eastAsia="Times New Roman" w:cs="Calibri"/>
                <w:b/>
                <w:sz w:val="24"/>
                <w:lang w:eastAsia="en-GB"/>
              </w:rPr>
              <w:t xml:space="preserve"> for promoting reading for pleasure.</w:t>
            </w:r>
            <w:r>
              <w:rPr>
                <w:rFonts w:eastAsia="Times New Roman" w:cs="Calibri"/>
                <w:b/>
                <w:sz w:val="24"/>
                <w:lang w:eastAsia="en-GB"/>
              </w:rPr>
              <w:t xml:space="preserve"> There is a clear action plan in place and </w:t>
            </w:r>
            <w:r w:rsidR="00DA7E68">
              <w:rPr>
                <w:rFonts w:eastAsia="Times New Roman" w:cs="Calibri"/>
                <w:b/>
                <w:sz w:val="24"/>
                <w:lang w:eastAsia="en-GB"/>
              </w:rPr>
              <w:t>evidence of the improvements made to reading provision over the last 12 months has been kept.</w:t>
            </w:r>
          </w:p>
          <w:p w:rsidR="00057CCA" w:rsidRPr="00057CCA" w:rsidRDefault="00057CCA" w:rsidP="00057CCA">
            <w:pPr>
              <w:spacing w:after="0" w:line="240" w:lineRule="auto"/>
              <w:rPr>
                <w:rFonts w:eastAsia="Times New Roman" w:cs="Calibri"/>
                <w:b/>
                <w:sz w:val="24"/>
                <w:lang w:eastAsia="en-GB"/>
              </w:rPr>
            </w:pPr>
          </w:p>
          <w:p w:rsidR="00057CCA" w:rsidRPr="00057CCA" w:rsidRDefault="00057CCA" w:rsidP="00057CCA">
            <w:pPr>
              <w:spacing w:after="0" w:line="240" w:lineRule="auto"/>
              <w:rPr>
                <w:rFonts w:eastAsia="Times New Roman" w:cs="Calibri"/>
                <w:b/>
                <w:sz w:val="24"/>
                <w:lang w:eastAsia="en-GB"/>
              </w:rPr>
            </w:pPr>
            <w:r w:rsidRPr="00057CCA">
              <w:rPr>
                <w:rFonts w:eastAsia="Times New Roman" w:cs="Calibri"/>
                <w:b/>
                <w:sz w:val="24"/>
                <w:lang w:eastAsia="en-GB"/>
              </w:rPr>
              <w:t>Staff are active role models sharing a sound knowledge of reading with others, including families, students and other settings.</w:t>
            </w:r>
            <w:r w:rsidR="00DA7E68">
              <w:rPr>
                <w:rFonts w:eastAsia="Times New Roman" w:cs="Calibri"/>
                <w:b/>
                <w:sz w:val="24"/>
                <w:lang w:eastAsia="en-GB"/>
              </w:rPr>
              <w:t xml:space="preserve">  Parents/carers are invited into the nursery once a month for play sessions. These have focussed in reading and staff have modelled best practice to their families. </w:t>
            </w:r>
          </w:p>
          <w:p w:rsidR="00266AF7" w:rsidRDefault="00266AF7" w:rsidP="00DA7E68">
            <w:pPr>
              <w:spacing w:after="0" w:line="240" w:lineRule="auto"/>
              <w:rPr>
                <w:rFonts w:eastAsia="Times New Roman" w:cs="Calibri"/>
                <w:b/>
                <w:sz w:val="24"/>
                <w:lang w:eastAsia="en-GB"/>
              </w:rPr>
            </w:pPr>
          </w:p>
          <w:p w:rsidR="00DA7E68" w:rsidRDefault="00DA7E68" w:rsidP="00DA7E68">
            <w:pPr>
              <w:spacing w:after="0" w:line="240" w:lineRule="auto"/>
              <w:rPr>
                <w:rFonts w:eastAsia="Times New Roman" w:cs="Calibri"/>
                <w:b/>
                <w:sz w:val="24"/>
                <w:lang w:eastAsia="en-GB"/>
              </w:rPr>
            </w:pPr>
            <w:r>
              <w:rPr>
                <w:rFonts w:eastAsia="Times New Roman" w:cs="Calibri"/>
                <w:b/>
                <w:sz w:val="24"/>
                <w:lang w:eastAsia="en-GB"/>
              </w:rPr>
              <w:t xml:space="preserve">Children are given a variety of experiences during their time at nursery which help to support their love of reading. The children attend regular story sessions with staff from Bookstart and take part in engaging activities on World Book Day. The nursery also hosts a book fair annually. Staff have recently taken the children on trips to the Story Barn at Calderstones. The nursery has strong links with the local children’s centre and community cohesion is a strength. </w:t>
            </w:r>
          </w:p>
          <w:p w:rsidR="00DA7E68" w:rsidRPr="00AC037E" w:rsidRDefault="00DA7E68" w:rsidP="00DA7E68">
            <w:pPr>
              <w:spacing w:after="0" w:line="240" w:lineRule="auto"/>
              <w:rPr>
                <w:rFonts w:eastAsia="Times New Roman" w:cs="Calibri"/>
                <w:b/>
                <w:sz w:val="24"/>
                <w:lang w:eastAsia="en-GB"/>
              </w:rPr>
            </w:pPr>
          </w:p>
        </w:tc>
      </w:tr>
    </w:tbl>
    <w:p w:rsidR="00266AF7" w:rsidRPr="00AC037E" w:rsidRDefault="00266AF7" w:rsidP="00266AF7">
      <w:pPr>
        <w:spacing w:after="0" w:line="240" w:lineRule="auto"/>
        <w:rPr>
          <w:rFonts w:eastAsia="Times New Roman" w:cs="Calibri"/>
          <w:b/>
          <w:sz w:val="28"/>
          <w:szCs w:val="28"/>
          <w:lang w:eastAsia="en-GB"/>
        </w:rPr>
      </w:pPr>
    </w:p>
    <w:p w:rsidR="00266AF7" w:rsidRPr="00AC037E" w:rsidRDefault="00266AF7" w:rsidP="00266AF7">
      <w:pPr>
        <w:spacing w:after="0" w:line="240" w:lineRule="auto"/>
        <w:rPr>
          <w:rFonts w:eastAsia="Times New Roman" w:cs="Calibri"/>
          <w:b/>
          <w:sz w:val="28"/>
          <w:szCs w:val="28"/>
          <w:lang w:eastAsia="en-GB"/>
        </w:rPr>
      </w:pPr>
    </w:p>
    <w:p w:rsidR="00266AF7" w:rsidRPr="00AC037E" w:rsidRDefault="00266AF7" w:rsidP="00266AF7">
      <w:pPr>
        <w:spacing w:after="0" w:line="240" w:lineRule="auto"/>
        <w:rPr>
          <w:rFonts w:eastAsia="Times New Roman" w:cs="Calibri"/>
          <w:b/>
          <w:sz w:val="28"/>
          <w:szCs w:val="28"/>
          <w:lang w:eastAsia="en-GB"/>
        </w:rPr>
      </w:pPr>
      <w:r w:rsidRPr="00AC037E">
        <w:rPr>
          <w:rFonts w:eastAsia="Times New Roman" w:cs="Calibri"/>
          <w:b/>
          <w:sz w:val="28"/>
          <w:szCs w:val="28"/>
          <w:lang w:eastAsia="en-GB"/>
        </w:rPr>
        <w:t xml:space="preserve">Overview and feedback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080"/>
      </w:tblGrid>
      <w:tr w:rsidR="00266AF7" w:rsidRPr="00AC037E" w:rsidTr="00A836F5">
        <w:tc>
          <w:tcPr>
            <w:tcW w:w="4533" w:type="dxa"/>
          </w:tcPr>
          <w:p w:rsidR="00266AF7" w:rsidRPr="00AC037E" w:rsidRDefault="00266AF7" w:rsidP="00A836F5">
            <w:pPr>
              <w:spacing w:after="0" w:line="240" w:lineRule="auto"/>
              <w:rPr>
                <w:rFonts w:eastAsia="Times New Roman" w:cs="Calibri"/>
                <w:b/>
                <w:sz w:val="24"/>
                <w:szCs w:val="24"/>
                <w:lang w:eastAsia="en-GB"/>
              </w:rPr>
            </w:pPr>
            <w:r w:rsidRPr="00AC037E">
              <w:rPr>
                <w:rFonts w:eastAsia="Times New Roman" w:cs="Calibri"/>
                <w:b/>
                <w:sz w:val="24"/>
                <w:szCs w:val="24"/>
                <w:lang w:eastAsia="en-GB"/>
              </w:rPr>
              <w:t>Areas of strength/ excellent practice</w:t>
            </w:r>
          </w:p>
          <w:p w:rsidR="00266AF7" w:rsidRPr="00AC037E" w:rsidRDefault="00266AF7" w:rsidP="00A836F5">
            <w:pPr>
              <w:spacing w:after="0" w:line="240" w:lineRule="auto"/>
              <w:rPr>
                <w:rFonts w:eastAsia="Times New Roman" w:cs="Calibri"/>
                <w:b/>
                <w:sz w:val="24"/>
                <w:szCs w:val="24"/>
                <w:lang w:eastAsia="en-GB"/>
              </w:rPr>
            </w:pPr>
          </w:p>
        </w:tc>
        <w:tc>
          <w:tcPr>
            <w:tcW w:w="4080" w:type="dxa"/>
          </w:tcPr>
          <w:p w:rsidR="00266AF7" w:rsidRPr="00AC037E" w:rsidRDefault="00266AF7" w:rsidP="00A836F5">
            <w:pPr>
              <w:spacing w:after="0" w:line="240" w:lineRule="auto"/>
              <w:rPr>
                <w:rFonts w:eastAsia="Times New Roman" w:cs="Calibri"/>
                <w:b/>
                <w:sz w:val="24"/>
                <w:szCs w:val="24"/>
                <w:lang w:eastAsia="en-GB"/>
              </w:rPr>
            </w:pPr>
            <w:r w:rsidRPr="00AC037E">
              <w:rPr>
                <w:rFonts w:eastAsia="Times New Roman" w:cs="Calibri"/>
                <w:b/>
                <w:sz w:val="24"/>
                <w:szCs w:val="24"/>
                <w:lang w:eastAsia="en-GB"/>
              </w:rPr>
              <w:t>Future development</w:t>
            </w:r>
          </w:p>
        </w:tc>
      </w:tr>
      <w:tr w:rsidR="00266AF7" w:rsidRPr="00AC037E" w:rsidTr="00A836F5">
        <w:tc>
          <w:tcPr>
            <w:tcW w:w="4533" w:type="dxa"/>
          </w:tcPr>
          <w:p w:rsidR="009813F0" w:rsidRDefault="00DA7E68" w:rsidP="00005954">
            <w:pPr>
              <w:spacing w:after="0" w:line="240" w:lineRule="auto"/>
              <w:rPr>
                <w:rFonts w:eastAsia="Times New Roman" w:cs="Calibri"/>
                <w:b/>
                <w:sz w:val="24"/>
                <w:lang w:eastAsia="en-GB"/>
              </w:rPr>
            </w:pPr>
            <w:r>
              <w:rPr>
                <w:rFonts w:eastAsia="Times New Roman" w:cs="Calibri"/>
                <w:b/>
                <w:sz w:val="24"/>
                <w:lang w:eastAsia="en-GB"/>
              </w:rPr>
              <w:t xml:space="preserve">The nursery is valued by the local community and the staff embrace this. Staff are keen to support children’s development of reading and recognise that the role parents/carers play within this is </w:t>
            </w:r>
            <w:r w:rsidR="008A49D1">
              <w:rPr>
                <w:rFonts w:eastAsia="Times New Roman" w:cs="Calibri"/>
                <w:b/>
                <w:sz w:val="24"/>
                <w:lang w:eastAsia="en-GB"/>
              </w:rPr>
              <w:t>crucial</w:t>
            </w:r>
            <w:r>
              <w:rPr>
                <w:rFonts w:eastAsia="Times New Roman" w:cs="Calibri"/>
                <w:b/>
                <w:sz w:val="24"/>
                <w:lang w:eastAsia="en-GB"/>
              </w:rPr>
              <w:t>.</w:t>
            </w:r>
          </w:p>
          <w:p w:rsidR="00DA7E68" w:rsidRDefault="00DA7E68" w:rsidP="00005954">
            <w:pPr>
              <w:spacing w:after="0" w:line="240" w:lineRule="auto"/>
              <w:rPr>
                <w:rFonts w:eastAsia="Times New Roman" w:cs="Calibri"/>
                <w:b/>
                <w:sz w:val="24"/>
                <w:lang w:eastAsia="en-GB"/>
              </w:rPr>
            </w:pPr>
          </w:p>
          <w:p w:rsidR="00DA7E68" w:rsidRDefault="00DA7E68" w:rsidP="00005954">
            <w:pPr>
              <w:spacing w:after="0" w:line="240" w:lineRule="auto"/>
              <w:rPr>
                <w:rFonts w:eastAsia="Times New Roman" w:cs="Calibri"/>
                <w:b/>
                <w:sz w:val="24"/>
                <w:lang w:eastAsia="en-GB"/>
              </w:rPr>
            </w:pPr>
            <w:r>
              <w:rPr>
                <w:rFonts w:eastAsia="Times New Roman" w:cs="Calibri"/>
                <w:b/>
                <w:sz w:val="24"/>
                <w:lang w:eastAsia="en-GB"/>
              </w:rPr>
              <w:t>Progress from children’s starting points is clearly evident</w:t>
            </w:r>
            <w:r w:rsidR="008A49D1">
              <w:rPr>
                <w:rFonts w:eastAsia="Times New Roman" w:cs="Calibri"/>
                <w:b/>
                <w:sz w:val="24"/>
                <w:lang w:eastAsia="en-GB"/>
              </w:rPr>
              <w:t>.</w:t>
            </w:r>
          </w:p>
          <w:p w:rsidR="00DA7E68" w:rsidRDefault="00DA7E68" w:rsidP="00005954">
            <w:pPr>
              <w:spacing w:after="0" w:line="240" w:lineRule="auto"/>
              <w:rPr>
                <w:rFonts w:eastAsia="Times New Roman" w:cs="Calibri"/>
                <w:b/>
                <w:sz w:val="24"/>
                <w:lang w:eastAsia="en-GB"/>
              </w:rPr>
            </w:pPr>
          </w:p>
          <w:p w:rsidR="00DA7E68" w:rsidRDefault="00DA7E68" w:rsidP="00005954">
            <w:pPr>
              <w:spacing w:after="0" w:line="240" w:lineRule="auto"/>
              <w:rPr>
                <w:rFonts w:eastAsia="Times New Roman" w:cs="Calibri"/>
                <w:b/>
                <w:sz w:val="24"/>
                <w:lang w:eastAsia="en-GB"/>
              </w:rPr>
            </w:pPr>
            <w:r>
              <w:rPr>
                <w:rFonts w:eastAsia="Times New Roman" w:cs="Calibri"/>
                <w:b/>
                <w:sz w:val="24"/>
                <w:lang w:eastAsia="en-GB"/>
              </w:rPr>
              <w:t>Children demonstrate a love of books and were keen to show their books, book areas and story toys during the assessment visit</w:t>
            </w:r>
            <w:r w:rsidR="008A49D1">
              <w:rPr>
                <w:rFonts w:eastAsia="Times New Roman" w:cs="Calibri"/>
                <w:b/>
                <w:sz w:val="24"/>
                <w:lang w:eastAsia="en-GB"/>
              </w:rPr>
              <w:t>.</w:t>
            </w:r>
          </w:p>
          <w:p w:rsidR="00DA7E68" w:rsidRDefault="00DA7E68" w:rsidP="00005954">
            <w:pPr>
              <w:spacing w:after="0" w:line="240" w:lineRule="auto"/>
              <w:rPr>
                <w:rFonts w:eastAsia="Times New Roman" w:cs="Calibri"/>
                <w:b/>
                <w:sz w:val="24"/>
                <w:lang w:eastAsia="en-GB"/>
              </w:rPr>
            </w:pPr>
          </w:p>
          <w:p w:rsidR="00DA7E68" w:rsidRPr="00005954" w:rsidRDefault="00DA7E68" w:rsidP="00005954">
            <w:pPr>
              <w:spacing w:after="0" w:line="240" w:lineRule="auto"/>
              <w:rPr>
                <w:rFonts w:eastAsia="Times New Roman" w:cs="Calibri"/>
                <w:b/>
                <w:sz w:val="24"/>
                <w:lang w:eastAsia="en-GB"/>
              </w:rPr>
            </w:pPr>
            <w:r>
              <w:rPr>
                <w:rFonts w:eastAsia="Times New Roman" w:cs="Calibri"/>
                <w:b/>
                <w:sz w:val="24"/>
                <w:lang w:eastAsia="en-GB"/>
              </w:rPr>
              <w:t xml:space="preserve">Staff are passionate about their roles and appear to have excellent relationships with the children. Staff act as role models </w:t>
            </w:r>
            <w:r w:rsidR="008A49D1">
              <w:rPr>
                <w:rFonts w:eastAsia="Times New Roman" w:cs="Calibri"/>
                <w:b/>
                <w:sz w:val="24"/>
                <w:lang w:eastAsia="en-GB"/>
              </w:rPr>
              <w:t xml:space="preserve">and </w:t>
            </w:r>
            <w:r>
              <w:rPr>
                <w:rFonts w:eastAsia="Times New Roman" w:cs="Calibri"/>
                <w:b/>
                <w:sz w:val="24"/>
                <w:lang w:eastAsia="en-GB"/>
              </w:rPr>
              <w:t>appreciate the influence that they have over children’s attitudes to reading</w:t>
            </w:r>
            <w:r w:rsidR="008A49D1">
              <w:rPr>
                <w:rFonts w:eastAsia="Times New Roman" w:cs="Calibri"/>
                <w:b/>
                <w:sz w:val="24"/>
                <w:lang w:eastAsia="en-GB"/>
              </w:rPr>
              <w:t>.</w:t>
            </w:r>
          </w:p>
          <w:p w:rsidR="00005954" w:rsidRDefault="00005954" w:rsidP="00005954">
            <w:pPr>
              <w:spacing w:after="0" w:line="240" w:lineRule="auto"/>
              <w:ind w:left="720"/>
              <w:contextualSpacing/>
              <w:rPr>
                <w:rFonts w:eastAsia="Times New Roman" w:cs="Calibri"/>
                <w:b/>
                <w:sz w:val="24"/>
                <w:lang w:eastAsia="en-GB"/>
              </w:rPr>
            </w:pPr>
          </w:p>
          <w:p w:rsidR="00266AF7" w:rsidRPr="00AC037E" w:rsidRDefault="00266AF7" w:rsidP="00A836F5">
            <w:pPr>
              <w:spacing w:after="0" w:line="240" w:lineRule="auto"/>
              <w:rPr>
                <w:rFonts w:eastAsia="Times New Roman" w:cs="Calibri"/>
                <w:b/>
                <w:sz w:val="24"/>
                <w:lang w:eastAsia="en-GB"/>
              </w:rPr>
            </w:pPr>
          </w:p>
        </w:tc>
        <w:tc>
          <w:tcPr>
            <w:tcW w:w="4080" w:type="dxa"/>
          </w:tcPr>
          <w:p w:rsidR="00266AF7" w:rsidRDefault="008A49D1" w:rsidP="00005954">
            <w:pPr>
              <w:spacing w:after="0" w:line="240" w:lineRule="auto"/>
              <w:contextualSpacing/>
              <w:rPr>
                <w:rFonts w:eastAsia="Times New Roman" w:cs="Calibri"/>
                <w:b/>
                <w:sz w:val="24"/>
                <w:lang w:eastAsia="en-GB"/>
              </w:rPr>
            </w:pPr>
            <w:r>
              <w:rPr>
                <w:rFonts w:eastAsia="Times New Roman" w:cs="Calibri"/>
                <w:b/>
                <w:sz w:val="24"/>
                <w:lang w:eastAsia="en-GB"/>
              </w:rPr>
              <w:t>Continue to enhance role play areas with real print and authentic reading materials.</w:t>
            </w:r>
          </w:p>
          <w:p w:rsidR="008A49D1" w:rsidRDefault="008A49D1" w:rsidP="00005954">
            <w:pPr>
              <w:spacing w:after="0" w:line="240" w:lineRule="auto"/>
              <w:contextualSpacing/>
              <w:rPr>
                <w:rFonts w:eastAsia="Times New Roman" w:cs="Calibri"/>
                <w:b/>
                <w:sz w:val="24"/>
                <w:lang w:eastAsia="en-GB"/>
              </w:rPr>
            </w:pPr>
          </w:p>
          <w:p w:rsidR="008A49D1" w:rsidRPr="00AC037E" w:rsidRDefault="008A49D1" w:rsidP="00005954">
            <w:pPr>
              <w:spacing w:after="0" w:line="240" w:lineRule="auto"/>
              <w:contextualSpacing/>
              <w:rPr>
                <w:rFonts w:eastAsia="Times New Roman" w:cs="Calibri"/>
                <w:b/>
                <w:sz w:val="24"/>
                <w:lang w:eastAsia="en-GB"/>
              </w:rPr>
            </w:pPr>
            <w:r>
              <w:rPr>
                <w:rFonts w:eastAsia="Times New Roman" w:cs="Calibri"/>
                <w:b/>
                <w:sz w:val="24"/>
                <w:lang w:eastAsia="en-GB"/>
              </w:rPr>
              <w:t>Continue to develop phase 1 phonics activities within continuous provision both indoors and outdoors.</w:t>
            </w:r>
          </w:p>
          <w:p w:rsidR="00266AF7" w:rsidRPr="00005954" w:rsidRDefault="00266AF7" w:rsidP="00FE443F">
            <w:pPr>
              <w:spacing w:after="0" w:line="240" w:lineRule="auto"/>
              <w:ind w:left="720"/>
              <w:contextualSpacing/>
              <w:rPr>
                <w:rFonts w:eastAsia="Times New Roman" w:cs="Calibri"/>
                <w:b/>
                <w:sz w:val="24"/>
                <w:lang w:eastAsia="en-GB"/>
              </w:rPr>
            </w:pPr>
          </w:p>
        </w:tc>
      </w:tr>
    </w:tbl>
    <w:p w:rsidR="008A49D1" w:rsidRDefault="008A49D1" w:rsidP="00266AF7">
      <w:pPr>
        <w:spacing w:after="0" w:line="240" w:lineRule="auto"/>
        <w:rPr>
          <w:rFonts w:eastAsia="Times New Roman" w:cs="Calibri"/>
          <w:sz w:val="24"/>
          <w:szCs w:val="24"/>
          <w:lang w:eastAsia="en-GB"/>
        </w:rPr>
      </w:pPr>
    </w:p>
    <w:p w:rsidR="00266AF7" w:rsidRPr="00AC037E" w:rsidRDefault="00266AF7" w:rsidP="00266AF7">
      <w:pPr>
        <w:spacing w:after="0" w:line="240" w:lineRule="auto"/>
        <w:rPr>
          <w:rFonts w:eastAsia="Times New Roman" w:cs="Calibri"/>
          <w:sz w:val="24"/>
          <w:szCs w:val="24"/>
          <w:lang w:eastAsia="en-GB"/>
        </w:rPr>
      </w:pPr>
      <w:r w:rsidRPr="00AC037E">
        <w:rPr>
          <w:rFonts w:eastAsia="Times New Roman" w:cs="Calibri"/>
          <w:sz w:val="24"/>
          <w:szCs w:val="24"/>
          <w:lang w:eastAsia="en-GB"/>
        </w:rPr>
        <w:t>LRQM Assessor to complete the form and send a copy to School Improvement Liverpool and the Headteacher within 10 working days of the assessment visit.</w:t>
      </w:r>
    </w:p>
    <w:p w:rsidR="00266AF7" w:rsidRDefault="00266AF7" w:rsidP="00266AF7">
      <w:r w:rsidRPr="00AC037E">
        <w:rPr>
          <w:rFonts w:eastAsia="Times New Roman" w:cs="Calibri"/>
          <w:sz w:val="24"/>
          <w:szCs w:val="24"/>
          <w:lang w:eastAsia="en-GB"/>
        </w:rPr>
        <w:tab/>
      </w:r>
    </w:p>
    <w:p w:rsidR="00FB117F" w:rsidRDefault="00FB117F"/>
    <w:sectPr w:rsidR="00FB117F" w:rsidSect="00430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94BEB"/>
    <w:multiLevelType w:val="hybridMultilevel"/>
    <w:tmpl w:val="5DEA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E159A3"/>
    <w:multiLevelType w:val="hybridMultilevel"/>
    <w:tmpl w:val="147C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F7"/>
    <w:rsid w:val="00005954"/>
    <w:rsid w:val="00057CCA"/>
    <w:rsid w:val="00063EB9"/>
    <w:rsid w:val="00266AF7"/>
    <w:rsid w:val="00430917"/>
    <w:rsid w:val="005A5A9E"/>
    <w:rsid w:val="00673820"/>
    <w:rsid w:val="008159DE"/>
    <w:rsid w:val="00867137"/>
    <w:rsid w:val="008A49D1"/>
    <w:rsid w:val="00936241"/>
    <w:rsid w:val="009813F0"/>
    <w:rsid w:val="009E220A"/>
    <w:rsid w:val="00CE46B7"/>
    <w:rsid w:val="00CF3896"/>
    <w:rsid w:val="00DA7E68"/>
    <w:rsid w:val="00DB0AB4"/>
    <w:rsid w:val="00F5160F"/>
    <w:rsid w:val="00FB117F"/>
    <w:rsid w:val="00FD7048"/>
    <w:rsid w:val="00FE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EB712-4162-44BF-8A79-51E3FB3F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A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A9E"/>
    <w:pPr>
      <w:ind w:left="720"/>
      <w:contextualSpacing/>
    </w:pPr>
  </w:style>
  <w:style w:type="character" w:styleId="Hyperlink">
    <w:name w:val="Hyperlink"/>
    <w:basedOn w:val="DefaultParagraphFont"/>
    <w:uiPriority w:val="99"/>
    <w:unhideWhenUsed/>
    <w:rsid w:val="008A4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eastprescotroadnursery.co.uk" TargetMode="External"/><Relationship Id="rId3" Type="http://schemas.openxmlformats.org/officeDocument/2006/relationships/settings" Target="settings.xml"/><Relationship Id="rId7" Type="http://schemas.openxmlformats.org/officeDocument/2006/relationships/hyperlink" Target="mailto:ao@eastprescotroadnurs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oung@ssscfederation.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 Hulme</cp:lastModifiedBy>
  <cp:revision>2</cp:revision>
  <dcterms:created xsi:type="dcterms:W3CDTF">2017-10-09T15:20:00Z</dcterms:created>
  <dcterms:modified xsi:type="dcterms:W3CDTF">2017-10-09T15:20:00Z</dcterms:modified>
</cp:coreProperties>
</file>